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0E7490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5563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0"/>
                <w:szCs w:val="30"/>
              </w:rPr>
              <w:t xml:space="preserve">[ YOUR PLUMBING &amp; HEATING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Expert Plumbing, Heating &amp; Gas Services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A3E4EC"/>
                <w:sz w:val="17"/>
                <w:szCs w:val="17"/>
              </w:rPr>
              <w:t xml:space="preserve">[ Gas Safe Registered ]  </w:t>
            </w:r>
            <w:r>
              <w:rPr>
                <w:rFonts w:ascii="Arial" w:cs="Arial" w:eastAsia="Arial" w:hAnsi="Arial"/>
                <w:color w:val="7EC8D4"/>
                <w:sz w:val="17"/>
                <w:szCs w:val="17"/>
              </w:rPr>
              <w:t xml:space="preserve">|  [ CIPHE Member ]  |  [ WaterSafe Approved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5563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SALES 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accounts@yourcompany.co.uk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Company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Gas Safe Reg No: XXXXXX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30 days net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Project Ref: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Project Ref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Warranty: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2-yr parts &amp; labour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0E7490" w:sz="14"/>
              <w:bottom w:val="none" w:color="FFFFFF" w:sz="0"/>
              <w:right w:val="none" w:color="FFFFFF" w:sz="0"/>
            </w:tcBorders>
            <w:shd w:fill="EAF6F8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 |  Email: client@email.co.uk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0B5563"/>
          <w:sz w:val="22"/>
          <w:szCs w:val="22"/>
        </w:rPr>
        <w:t xml:space="preserve">Description of Works: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e.g. Boiler Replacement, Bathroom Fit-Out — Address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556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556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556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556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556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5563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5563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A3E4EC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3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B5563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B5563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gas works comply with Gas Safety (Installation &amp; Use) Regulations 1998. A CP12 Gas Safety Certificate will be issued on completion. All plumbing works comply with the Water Supply (Water Fittings) Regulations 1999.</w:t>
            </w:r>
          </w:p>
        </w:tc>
      </w:tr>
    </w:tbl>
    <w:p>
      <w:pPr>
        <w:spacing w:after="200"/>
      </w:pPr>
    </w:p>
    <w:p>
      <w:pPr>
        <w:pBdr>
          <w:top w:val="single" w:color="0E7490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Company /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Gas Safe Reg: [ XXXXXX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Registered in England &amp; Wales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accounts@youremail.co.uk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[ 01xxx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2026-03-23T12:58:16.989Z</dcterms:created>
  <dcterms:modified xsi:type="dcterms:W3CDTF">2026-03-23T12:58:16.990Z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